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948" w:rsidRDefault="00364948" w:rsidP="00ED5EAA">
      <w:pPr>
        <w:pStyle w:val="Norml1"/>
        <w:spacing w:after="0"/>
        <w:rPr>
          <w:b/>
          <w:color w:val="000000" w:themeColor="text1"/>
        </w:rPr>
      </w:pPr>
    </w:p>
    <w:p w:rsidR="00364948" w:rsidRDefault="00364948" w:rsidP="00ED5EAA">
      <w:pPr>
        <w:pStyle w:val="Norml1"/>
        <w:spacing w:after="0"/>
        <w:rPr>
          <w:b/>
          <w:color w:val="000000" w:themeColor="text1"/>
        </w:rPr>
      </w:pPr>
    </w:p>
    <w:p w:rsidR="004B3B84" w:rsidRPr="004B3B84" w:rsidRDefault="004B3B84" w:rsidP="004B3B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Osztályozó vizsga követelmények  (technikum)</w:t>
      </w:r>
    </w:p>
    <w:p w:rsidR="00ED5EAA" w:rsidRP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Oktatási program a német, mint első idegen nyelv tantárgy számára (9–13. évfolyam)</w:t>
      </w:r>
    </w:p>
    <w:p w:rsidR="004B3B84" w:rsidRDefault="004B3B84" w:rsidP="004B3B84">
      <w:pPr>
        <w:pStyle w:val="Norml1"/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B3B84" w:rsidRDefault="004B3B84" w:rsidP="004B3B84">
      <w:pPr>
        <w:pStyle w:val="Norml1"/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5EAA" w:rsidRPr="004B3B84" w:rsidRDefault="00ED5EAA" w:rsidP="004B3B84">
      <w:pPr>
        <w:pStyle w:val="Norml1"/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9.évfolyam</w:t>
      </w:r>
    </w:p>
    <w:p w:rsidR="00ED5EAA" w:rsidRPr="004B3B84" w:rsidRDefault="00ED5EAA" w:rsidP="004B3B84">
      <w:pPr>
        <w:pStyle w:val="Norml1"/>
        <w:spacing w:after="0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</w:t>
      </w:r>
      <w:r w:rsidRPr="004B3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elvi elemek, struktúrák a német mint első idegen nyelvre a szakasz végéig 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Igeragozás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Szórend: kijelentő ill. kérdő mondat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color w:val="000000"/>
          <w:sz w:val="24"/>
          <w:szCs w:val="24"/>
        </w:rPr>
        <w:t>Birtokos névmás, Birtoklás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Határozatlan és határozott névelő 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Főnevek többes száma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Felszólító mód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Eldöntendő kérdés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Tagadás: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Az es névmás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Szórend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és und után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Főnevek tárgyesete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Gyenge főnevek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Összetett szavak  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gibt</w:t>
      </w:r>
      <w:proofErr w:type="spellEnd"/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Szórend kiemelt mondatrész után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Birtoklás: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haben</w:t>
      </w:r>
      <w:proofErr w:type="spellEnd"/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Tagadás: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kein</w:t>
      </w:r>
      <w:proofErr w:type="spellEnd"/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Tőhangváltós igék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Személyes névmás tárgyesete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Elváló igekötők                                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man           </w:t>
      </w:r>
    </w:p>
    <w:p w:rsidR="004B3B84" w:rsidRDefault="00ED5EAA" w:rsidP="004B3B84">
      <w:pPr>
        <w:pStyle w:val="Listaszerbekezds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Részes eset        </w:t>
      </w: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rPr>
          <w:rFonts w:ascii="Times New Roman" w:hAnsi="Times New Roman" w:cs="Times New Roman"/>
          <w:sz w:val="24"/>
          <w:szCs w:val="24"/>
        </w:rPr>
      </w:pPr>
    </w:p>
    <w:p w:rsidR="00ED5EAA" w:rsidRPr="004B3B84" w:rsidRDefault="00ED5EAA" w:rsidP="004B3B84">
      <w:p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Témakör neve</w:t>
            </w:r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(szintnek megfelelően)</w:t>
            </w:r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persönlichen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Verwandtschaftsbeziehungen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Lebensstil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Gesellschaft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1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Umgebung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Ausbildung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Reisen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Tourismus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Öffentliches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Unterhaltung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524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Bezüge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Zielsprache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Sprachenlernen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Interkulturelle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landeskundliche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Fächerübergreifende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Situationen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0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Aktuelle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Technik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Kommunikation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Wissenserwerb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Wissensvermittlung</w:t>
            </w:r>
            <w:proofErr w:type="spellEnd"/>
          </w:p>
        </w:tc>
      </w:tr>
    </w:tbl>
    <w:p w:rsidR="008E3A7F" w:rsidRPr="004B3B84" w:rsidRDefault="008E3A7F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AA" w:rsidRDefault="00ED5EAA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P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AA" w:rsidRPr="004B3B84" w:rsidRDefault="00ED5EAA" w:rsidP="004B3B8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B84">
        <w:rPr>
          <w:rFonts w:ascii="Times New Roman" w:hAnsi="Times New Roman" w:cs="Times New Roman"/>
          <w:b/>
          <w:i/>
          <w:sz w:val="24"/>
          <w:szCs w:val="24"/>
        </w:rPr>
        <w:lastRenderedPageBreak/>
        <w:t>10.évfolyam</w:t>
      </w:r>
    </w:p>
    <w:p w:rsidR="00ED5EAA" w:rsidRPr="004B3B84" w:rsidRDefault="00ED5EAA" w:rsidP="004B3B8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Ny</w:t>
      </w:r>
      <w:r w:rsidRPr="004B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elvi elemek, struktúrák a német mint első idegen nyelvre a szakasz végéig 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személytelenség (Es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függő beszéd jelen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sagte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vonzatos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igék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Sommer), névmási határozószók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Woran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denkst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daran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, …)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főnévként használt melléknév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Bekannter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Verwandte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Verwandter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), melléknévi igenév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Reisende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Angestellte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modalitás: módbeli segédigék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Präteritumban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konnte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schwimmen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Kranke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durfte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aufstehen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zu +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brauchst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mitzukommen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műveltetés jelen időben és első múltban: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ließen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reparieren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szenvedő szerkezet jelen és múlt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wurden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Flughafen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abgeholt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sind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eingeladen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zu +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 szerkezet (Es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zu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mellékmondatok: alanyi mellékmondat (Es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freut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tárgyi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weiß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zu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tun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weiß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Zeit hat.), helyhatározói mellékmondat (Du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sollst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dort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arbeiten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wohnst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időhatározói mellékmondat egyidejűségre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Märchen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 és elő- és utóidejűségre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Liza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Hausaufgabe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kochte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 vonatkozóan, okhatározói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Ausflug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teilnehmen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krank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célhatározói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gekommen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neuen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anzuschauen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vonatkozó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mag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singst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névmások szövegben betöltött funkcionális használata: mutató névmás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derselbe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dieselbe,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dasselbe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), vonatkozó névmás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feltételesség jelen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Zeit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putzen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Fenster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würden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tun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Million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?), módbeli segédigék feltételes módban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müsste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stb.)</w:t>
      </w:r>
    </w:p>
    <w:p w:rsidR="00ED5EAA" w:rsidRPr="004B3B84" w:rsidRDefault="00ED5EAA" w:rsidP="004B3B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kollokációk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Funktionsverbgefüge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Verfügung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stehen</w:t>
      </w:r>
      <w:proofErr w:type="spellEnd"/>
    </w:p>
    <w:p w:rsidR="00ED5EAA" w:rsidRDefault="00ED5EAA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P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Témakör neve</w:t>
            </w:r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(szintnek megfelelően)</w:t>
            </w:r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persönlichen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Verwandtschaftsbeziehungen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Lebensstil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Gesellschaft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1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Umgebung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Ausbildung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Reisen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Tourismus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Öffentliches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Unterhaltung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524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Bezüge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Zielsprache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Sprachenlernen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Interkulturelle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landeskundliche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Fächerübergreifende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Situationen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tabs>
                <w:tab w:val="left" w:pos="10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Aktuelle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Technik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Kommunikation</w:t>
            </w:r>
            <w:proofErr w:type="spellEnd"/>
          </w:p>
        </w:tc>
      </w:tr>
      <w:tr w:rsidR="00ED5EAA" w:rsidRPr="004B3B84" w:rsidTr="001A214C">
        <w:tc>
          <w:tcPr>
            <w:tcW w:w="6374" w:type="dxa"/>
          </w:tcPr>
          <w:p w:rsidR="00ED5EAA" w:rsidRPr="004B3B84" w:rsidRDefault="00ED5EAA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Wissenserwerb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Wissensvermittlung</w:t>
            </w:r>
            <w:proofErr w:type="spellEnd"/>
          </w:p>
        </w:tc>
      </w:tr>
    </w:tbl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3B84" w:rsidRDefault="004B3B84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AA" w:rsidRPr="004B3B84" w:rsidRDefault="00ED5EAA" w:rsidP="004B3B8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B84">
        <w:rPr>
          <w:rFonts w:ascii="Times New Roman" w:hAnsi="Times New Roman" w:cs="Times New Roman"/>
          <w:b/>
          <w:i/>
          <w:sz w:val="24"/>
          <w:szCs w:val="24"/>
        </w:rPr>
        <w:lastRenderedPageBreak/>
        <w:t>11.évfolyam</w:t>
      </w:r>
    </w:p>
    <w:p w:rsidR="00ED5EAA" w:rsidRPr="004B3B84" w:rsidRDefault="00ED5EAA" w:rsidP="004B3B84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Nyelvi elemek és struktúrák </w:t>
      </w:r>
    </w:p>
    <w:p w:rsidR="004B3B84" w:rsidRDefault="00ED5EAA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feltételes mód 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(Wenn ich nicht so viel Schokolade äße,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wöge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Schokolade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wiegen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feltételes mód módbeli segédigével, múlt időben (Jan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besser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schreiben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können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mehr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gelernt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ED5EAA" w:rsidRPr="004B3B84" w:rsidRDefault="00ED5EAA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óhajtó és irreális óhajtó mondatok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Steven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einmal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sähe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bloß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!)</w:t>
      </w:r>
    </w:p>
    <w:p w:rsidR="00ED5EAA" w:rsidRPr="004B3B84" w:rsidRDefault="00ED5EAA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mellékmondatok: módhatározói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erzählt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spannend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bewundern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hasonlító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gesund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következtető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weggegangen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ohne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megengedő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hat,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Verfügung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4B3B84" w:rsidRDefault="00ED5EAA" w:rsidP="004B3B84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cselekvőpasszív módbeli segédigékkel jelen és múlt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Schrift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konnten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eingepackt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</w:p>
    <w:p w:rsidR="004B3B84" w:rsidRDefault="00ED5EAA" w:rsidP="004B3B84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főnévi és melléknévi vonzatok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zweifeln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angewiesen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)</w:t>
      </w:r>
    </w:p>
    <w:p w:rsidR="00ED5EAA" w:rsidRPr="004B3B84" w:rsidRDefault="00ED5EAA" w:rsidP="004B3B84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elváló és nem elváló igekötők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unbekannte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umgeschrieben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umschreibe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364948" w:rsidRPr="004B3B84" w:rsidRDefault="00364948" w:rsidP="004B3B84">
      <w:pPr>
        <w:pStyle w:val="Listaszerbekezds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(szintnek </w:t>
            </w:r>
            <w:proofErr w:type="spellStart"/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megfelelelően</w:t>
            </w:r>
            <w:proofErr w:type="spellEnd"/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persönlichen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Verwandtschaftsbeziehungen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Lebensstil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1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Umgebung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Reisen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Tourismus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Öffentliches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Unterhaltung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524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Bezüge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Zielsprache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Sprachenlernen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Interkulturelle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landeskundliche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Fächerübergreifende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Situationen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005"/>
              </w:tabs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Aktuelle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Technik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Kommunikation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Mensch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Gesellschaft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Sucht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Abhängigkeit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Wirtschaft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Finanzen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Arbeitswelt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Karriere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360" w:lineRule="auto"/>
              <w:ind w:left="1066" w:hanging="10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Wissenserwerb und Wissensvermittlung</w:t>
            </w:r>
          </w:p>
        </w:tc>
      </w:tr>
    </w:tbl>
    <w:p w:rsidR="00ED5EAA" w:rsidRPr="004B3B84" w:rsidRDefault="00ED5EAA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B84">
        <w:rPr>
          <w:rFonts w:ascii="Times New Roman" w:hAnsi="Times New Roman" w:cs="Times New Roman"/>
          <w:b/>
          <w:i/>
          <w:sz w:val="24"/>
          <w:szCs w:val="24"/>
        </w:rPr>
        <w:lastRenderedPageBreak/>
        <w:t>12. évfolyam</w:t>
      </w:r>
    </w:p>
    <w:p w:rsidR="00364948" w:rsidRPr="004B3B84" w:rsidRDefault="00364948" w:rsidP="004B3B8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948" w:rsidRPr="004B3B84" w:rsidRDefault="00364948" w:rsidP="004B3B8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Nyelvi elemek és struktúrák </w:t>
      </w:r>
    </w:p>
    <w:p w:rsidR="00364948" w:rsidRPr="004B3B84" w:rsidRDefault="00364948" w:rsidP="004B3B84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 xml:space="preserve">feltételes mód </w:t>
      </w:r>
      <w:r w:rsidRPr="004B3B84">
        <w:rPr>
          <w:rFonts w:ascii="Times New Roman" w:hAnsi="Times New Roman" w:cs="Times New Roman"/>
          <w:sz w:val="24"/>
          <w:szCs w:val="24"/>
          <w:lang w:val="de-DE"/>
        </w:rPr>
        <w:t>(Wenn ich nicht so viel Schokolade äße,</w:t>
      </w:r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wöge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Schokolade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essen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wiegen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.), feltételes mód módbeli segédigével, múlt időben (Jan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besser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gelernt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óhajtó és irreális óhajtó mondatok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Steven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einmal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sähe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bloß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!)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mellékmondatok: módhatározói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erzählt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spannend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bewundern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hasonlító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gesund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következtető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weggegangen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ohne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megengedő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hat,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Verfügung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cselekvőpasszív módbeli segédigékkel jelen és múlt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Schrift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konnten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eingepackt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Állapotpasszív (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Die Fenster sind weiß und blau gestrichen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főnévi és melléknévi vonzatok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zweifeln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angewiesen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auf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folyamatos és beálló melléknévi igenevek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schreibende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Kind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lesende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Buch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módbeli segédigék másodlagos jelentése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Zug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muss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5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Minuten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ankommen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Unfall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gesehen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haben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elváló és nem elváló igekötők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Schüler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unbekannte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Wort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umgeschrieben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Mein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gefällt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mir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umschreibe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ganzen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(szintnek megfelelően)</w:t>
            </w:r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persönlichen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Verwandtschaftsbeziehungen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Lebensstil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105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Umgebung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Reisen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Tourismus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Öffentliches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Unterhaltung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524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Bezüge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Zielsprache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Sprachenlernen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Interkulturelle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landeskundliche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Fächerübergreifende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Situationen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005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Aktuelle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Technik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Kommunikation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Mensch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Gesellschaft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Sucht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Abhängigkeit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Wirtschaft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Finanzen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Arbeitswelt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Karriere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Wissenserwerb und Wissensvermittlung</w:t>
            </w:r>
          </w:p>
        </w:tc>
      </w:tr>
    </w:tbl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B84">
        <w:rPr>
          <w:rFonts w:ascii="Times New Roman" w:hAnsi="Times New Roman" w:cs="Times New Roman"/>
          <w:b/>
          <w:i/>
          <w:sz w:val="24"/>
          <w:szCs w:val="24"/>
        </w:rPr>
        <w:lastRenderedPageBreak/>
        <w:t>13.évfolyam</w:t>
      </w:r>
    </w:p>
    <w:p w:rsidR="00364948" w:rsidRPr="004B3B84" w:rsidRDefault="00364948" w:rsidP="004B3B8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Nyelvi elemek és struktúrák a német mint első idegen nyelvre a 13. évfolyamon </w:t>
      </w:r>
      <w:r w:rsidRPr="004B3B84">
        <w:rPr>
          <w:rFonts w:ascii="Times New Roman" w:eastAsia="Calibri" w:hAnsi="Times New Roman" w:cs="Times New Roman"/>
          <w:sz w:val="24"/>
          <w:szCs w:val="24"/>
        </w:rPr>
        <w:t>(a zárójelben olvasható német nyelvű kifejezések példák)</w:t>
      </w:r>
      <w:r w:rsidRPr="004B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feltételes mód 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(Wenn ich nicht so viel Schokolade äße,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wöge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viel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Schokolade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würde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Kilo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wiegen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feltételes mód módbeli segédigével, múlt időben (Jan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besser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schreiben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können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mehr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gelernt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óhajtó és irreális óhajtó mondatok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Steven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noch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einmal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sähe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bloß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!)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mellékmondatok: módhatározói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erzählt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spannend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bewundern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hasonlító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gesund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következtető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weggegangen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ohne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gesagt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.), megengedő mellékmondat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hat,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Verfügung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sz w:val="24"/>
          <w:szCs w:val="24"/>
        </w:rPr>
        <w:t>cselekvőpasszív módbeli segédigékkel jelen és múlt időben (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Schrift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konnten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eingepackt</w:t>
      </w:r>
      <w:proofErr w:type="spellEnd"/>
      <w:r w:rsidRPr="004B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sz w:val="24"/>
          <w:szCs w:val="24"/>
        </w:rPr>
        <w:t>werden</w:t>
      </w:r>
      <w:proofErr w:type="spellEnd"/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Állapotpasszív (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Die Fenster sind weiß und blau gestrichen</w:t>
      </w: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főnévi és melléknévi vonzatok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zweifeln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angewiesen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auf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folyamatos és beálló melléknévi igenevek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schreibende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Kind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lesende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Buch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módbeli segédigék másodlagos jelentése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Zug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muss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5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Minuten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ankommen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Unfall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gesehen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haben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4948" w:rsidRPr="004B3B84" w:rsidRDefault="00364948" w:rsidP="004B3B84">
      <w:pPr>
        <w:numPr>
          <w:ilvl w:val="0"/>
          <w:numId w:val="1"/>
        </w:numPr>
        <w:spacing w:after="120" w:line="276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elváló és nem elváló igekötők (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Schüler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unbekannte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Wort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schön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umgeschrieben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Mein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gefällt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mir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umschreibe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ganzen</w:t>
      </w:r>
      <w:proofErr w:type="spellEnd"/>
      <w:r w:rsidRPr="004B3B8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  <w:r w:rsidR="000106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(szintnek megfelelően)</w:t>
            </w:r>
            <w:bookmarkStart w:id="0" w:name="_GoBack"/>
            <w:bookmarkEnd w:id="0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persönlichen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Verwandtschaftsbeziehungen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Lebensstil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105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Situationen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Bereich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Umgebung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Reisen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Tourismus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Öffentliches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Unterhaltung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524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Bezüge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Zielsprache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Sprachenlernen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Interkulturelle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landeskundliche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Fächerübergreifende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Situationen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tabs>
                <w:tab w:val="left" w:pos="1005"/>
              </w:tabs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Aktuelle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Themen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Wissenschaft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Technik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Kommunikation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Mensch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Gesellschaft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Sucht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Abhängigkeit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Wirtschaft</w:t>
            </w:r>
            <w:proofErr w:type="spellEnd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bCs/>
                <w:sz w:val="24"/>
                <w:szCs w:val="24"/>
              </w:rPr>
              <w:t>Finanzen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Arbeitswelt</w:t>
            </w:r>
            <w:proofErr w:type="spellEnd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4B3B84">
              <w:rPr>
                <w:rFonts w:ascii="Times New Roman" w:hAnsi="Times New Roman" w:cs="Times New Roman"/>
                <w:sz w:val="24"/>
                <w:szCs w:val="24"/>
              </w:rPr>
              <w:t>Karriere</w:t>
            </w:r>
            <w:proofErr w:type="spellEnd"/>
          </w:p>
        </w:tc>
      </w:tr>
      <w:tr w:rsidR="00364948" w:rsidRPr="004B3B84" w:rsidTr="001A214C">
        <w:tc>
          <w:tcPr>
            <w:tcW w:w="6374" w:type="dxa"/>
          </w:tcPr>
          <w:p w:rsidR="00364948" w:rsidRPr="004B3B84" w:rsidRDefault="00364948" w:rsidP="004B3B84">
            <w:pPr>
              <w:spacing w:line="276" w:lineRule="auto"/>
              <w:ind w:left="1066" w:hanging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8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Wissenserwerb und Wissensvermittlung</w:t>
            </w:r>
          </w:p>
        </w:tc>
      </w:tr>
    </w:tbl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948" w:rsidRPr="004B3B84" w:rsidRDefault="00364948" w:rsidP="004B3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4948" w:rsidRPr="004B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0EB0"/>
    <w:multiLevelType w:val="hybridMultilevel"/>
    <w:tmpl w:val="C8F27876"/>
    <w:lvl w:ilvl="0" w:tplc="E2CC5D66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5D6F"/>
    <w:multiLevelType w:val="hybridMultilevel"/>
    <w:tmpl w:val="F4949B48"/>
    <w:lvl w:ilvl="0" w:tplc="764255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AA"/>
    <w:rsid w:val="000106F1"/>
    <w:rsid w:val="00364948"/>
    <w:rsid w:val="004B3B84"/>
    <w:rsid w:val="008E3A7F"/>
    <w:rsid w:val="00E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C3E"/>
  <w15:chartTrackingRefBased/>
  <w15:docId w15:val="{81C5C3D5-02DA-417A-9736-B7BFBCFB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ED5EAA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ED5EAA"/>
    <w:pPr>
      <w:numPr>
        <w:numId w:val="1"/>
      </w:numPr>
      <w:spacing w:after="120" w:line="276" w:lineRule="auto"/>
      <w:contextualSpacing/>
      <w:jc w:val="both"/>
    </w:pPr>
    <w:rPr>
      <w:rFonts w:cstheme="minorHAnsi"/>
      <w:color w:val="000000" w:themeColor="text1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ED5EAA"/>
    <w:rPr>
      <w:rFonts w:cstheme="minorHAnsi"/>
      <w:color w:val="000000" w:themeColor="text1"/>
    </w:rPr>
  </w:style>
  <w:style w:type="table" w:styleId="Rcsostblzat">
    <w:name w:val="Table Grid"/>
    <w:basedOn w:val="Normltblzat"/>
    <w:uiPriority w:val="39"/>
    <w:rsid w:val="00ED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Sinka Éva</dc:creator>
  <cp:keywords/>
  <dc:description/>
  <cp:lastModifiedBy>Kissné Sinka Éva</cp:lastModifiedBy>
  <cp:revision>5</cp:revision>
  <dcterms:created xsi:type="dcterms:W3CDTF">2022-06-13T11:22:00Z</dcterms:created>
  <dcterms:modified xsi:type="dcterms:W3CDTF">2022-06-24T08:01:00Z</dcterms:modified>
</cp:coreProperties>
</file>